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9471D2" w:rsidRDefault="00A14A66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9471D2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9471D2" w:rsidRDefault="00A14A66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አድልዎ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በህግ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የተከለከለ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ነው</w:t>
      </w:r>
    </w:p>
    <w:p w14:paraId="10E4E43F" w14:textId="52E2DC3A" w:rsidR="000B2898" w:rsidRPr="009471D2" w:rsidRDefault="00A14A66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Name of covered entity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]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የሚመለከታቸው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የፌዴራል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የሲቪል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መብቶች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ህጎችን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ያከብራል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እንዲሁም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በዘር፣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በቆዳ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ቀለም፣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በብሔራዊ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አመጣጥ፣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በእድሜ፣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በአካል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ጉዳት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ወይም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በጾታ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(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45 CFR § 92.101(a)(2))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ውስጥ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ከተገለጸው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የጾታ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መድልዎ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ወሰን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ጋር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የሚስማማ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)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አድልዎ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አያደርግም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>) [</w:t>
      </w:r>
      <w:r w:rsidR="009471D2">
        <w:rPr>
          <w:rFonts w:ascii="Times New Roman" w:eastAsia="Times New Roman" w:hAnsi="Times New Roman"/>
          <w:b/>
          <w:bCs/>
          <w:sz w:val="24"/>
          <w:szCs w:val="24"/>
        </w:rPr>
        <w:t>optional</w:t>
      </w:r>
      <w:r w:rsidRPr="009471D2">
        <w:rPr>
          <w:rFonts w:ascii="Nyala" w:eastAsia="Nyala" w:hAnsi="Nyala" w:cs="Nyala"/>
          <w:b/>
          <w:bCs/>
          <w:sz w:val="24"/>
          <w:szCs w:val="24"/>
          <w:cs/>
          <w:lang w:val="am-ET" w:bidi="am-ET"/>
        </w:rPr>
        <w:t>፦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(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ወይም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ጾታ፣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የጾታ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ባህሪያትን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ጨምሮ፣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የወንድም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የሴትም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ያልሆኑ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ባህሪያትን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ጨምሮ፤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እርግዝና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ወይም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ተዛማጅ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ሁኔታዎች፣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ወሲባዊ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ዝንባሌ፣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የሥርዓተ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ጾታ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ማንነት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እና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የተለመዱ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የጾታ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አመለካከቶች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>)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።</w:t>
      </w:r>
      <w:r w:rsidRPr="009471D2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>] [</w:t>
      </w:r>
      <w:bookmarkStart w:id="0" w:name="_Hlk132272512"/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Name of covered entity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]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ሰዎችን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በዘር፣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በቆዳ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ቀለም፣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በብሔራዊ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አመጣጥ፣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በእድሜ፣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በአካል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ጉዳት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ወይም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በጾታ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ምክንያት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አያገልም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ወይም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አድልዎ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በተሞላበት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መንገድ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አያስተናግድም።</w:t>
      </w:r>
    </w:p>
    <w:bookmarkEnd w:id="0"/>
    <w:p w14:paraId="02405751" w14:textId="0B163E45" w:rsidR="00012572" w:rsidRPr="009471D2" w:rsidRDefault="00A14A66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[</w:t>
      </w:r>
      <w:r w:rsidR="009471D2">
        <w:rPr>
          <w:rFonts w:ascii="Times New Roman" w:hAnsi="Times New Roman"/>
          <w:b/>
          <w:bCs/>
          <w:sz w:val="24"/>
          <w:szCs w:val="24"/>
        </w:rPr>
        <w:t>Optional: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 xml:space="preserve"> [Name of the covered entity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]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በአሁኑ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ጊዜ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>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religious and/or conscience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]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ምክንያት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ከ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HHS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የሲቪል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መብቶች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ጽሕፈት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ቤት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name of the covered entity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]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list provisions of Section 1557 to which the exemption applies, and the scope/terms of that exemption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>]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ከማክበር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ነፃ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የመሆን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ነፃነት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አለው።</w:t>
      </w:r>
    </w:p>
    <w:p w14:paraId="381502EE" w14:textId="367591E6" w:rsidR="000B2898" w:rsidRPr="009471D2" w:rsidRDefault="00A14A66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hAnsi="Times New Roman"/>
          <w:sz w:val="24"/>
          <w:szCs w:val="24"/>
        </w:rPr>
        <w:t> </w:t>
      </w:r>
      <w:r w:rsidRPr="009471D2">
        <w:rPr>
          <w:rFonts w:ascii="Times New Roman" w:hAnsi="Times New Roman"/>
          <w:sz w:val="24"/>
          <w:szCs w:val="24"/>
        </w:rPr>
        <w:tab/>
        <w:t>[</w:t>
      </w:r>
      <w:r w:rsidRPr="009471D2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9471D2">
        <w:rPr>
          <w:rFonts w:ascii="Times New Roman" w:hAnsi="Times New Roman"/>
          <w:sz w:val="24"/>
          <w:szCs w:val="24"/>
        </w:rPr>
        <w:t>]:</w:t>
      </w:r>
    </w:p>
    <w:p w14:paraId="191E273A" w14:textId="3A7EEF2A" w:rsidR="000B2898" w:rsidRPr="009471D2" w:rsidRDefault="00A14A66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 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ab/>
        <w:t xml:space="preserve">•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የአካል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ጉዳተኞች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ከእኛ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ጋር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ውጤታማ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በሆነ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መንገድ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ለመግባባት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ምክንያታዊ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ማሻሻያዎችን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="00D97A3C" w:rsidRPr="009471D2">
        <w:rPr>
          <w:rFonts w:ascii="Times New Roman" w:eastAsia="Times New Roman" w:hAnsi="Times New Roman"/>
          <w:sz w:val="24"/>
          <w:szCs w:val="24"/>
        </w:rPr>
        <w:t xml:space="preserve">         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እና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ተገቢ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የሆኑ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ተጨማሪ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እገዛዎችን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እና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አገልግሎቶችን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በነፃ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ይሰጣል፣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ለምሳሌ፦</w:t>
      </w:r>
    </w:p>
    <w:p w14:paraId="34D3897A" w14:textId="77777777" w:rsidR="000B2898" w:rsidRPr="009471D2" w:rsidRDefault="00A14A66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 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ab/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ab/>
        <w:t xml:space="preserve">○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ብቃት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ያላቸው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የምልክት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ቋንቋ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አስተርጓሚዎች</w:t>
      </w:r>
    </w:p>
    <w:p w14:paraId="324DEA02" w14:textId="6CE9DA00" w:rsidR="000B2898" w:rsidRPr="009471D2" w:rsidRDefault="00A14A66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 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ab/>
        <w:t xml:space="preserve">○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በሌሎች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ቅርጸቶች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የተዘጋጁ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የጽሑፍ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መረጃዎች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(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ትላልቅ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ጽሑፎች፣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የድምጽ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ቅጂዎች፣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lastRenderedPageBreak/>
        <w:t>በቀላሉ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ተደራሽ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የሆኑ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የኤሌክትሮኒክ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ቅጂዎች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እና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ሌሎች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ቅርጸቶች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>)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።</w:t>
      </w:r>
    </w:p>
    <w:p w14:paraId="72171CA6" w14:textId="7362680B" w:rsidR="000B2898" w:rsidRPr="009471D2" w:rsidRDefault="00A14A66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FreeSerif" w:hAnsi="FreeSerif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 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ab/>
        <w:t xml:space="preserve">•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ዋናው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ቋንቋቸው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እንግሊዝኛ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ላልሆኑ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ሰዎች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ነፃ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የቋንቋ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ድጋፍ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አገልግሎቶችን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ይሰጣል፣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ይህም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የሚከተሉትን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ሊያካትት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="00D97A3C"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ይችላል</w:t>
      </w:r>
      <w:r w:rsidR="00D97A3C" w:rsidRPr="009471D2">
        <w:rPr>
          <w:rFonts w:ascii="FreeSerif" w:eastAsia="Nyala" w:hAnsi="FreeSerif" w:cs="Nyala"/>
          <w:sz w:val="24"/>
          <w:szCs w:val="24"/>
          <w:lang w:val="am-ET" w:bidi="am-ET"/>
        </w:rPr>
        <w:t>፦</w:t>
      </w:r>
    </w:p>
    <w:p w14:paraId="7BB308E8" w14:textId="77777777" w:rsidR="000B2898" w:rsidRPr="009471D2" w:rsidRDefault="00A14A66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 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ab/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ab/>
        <w:t xml:space="preserve">○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ብቃት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ያላቸው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አስተርጓሚዎች</w:t>
      </w:r>
    </w:p>
    <w:p w14:paraId="1E69AF2F" w14:textId="69CACA9B" w:rsidR="000B2898" w:rsidRPr="009471D2" w:rsidRDefault="00A14A66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 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ab/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ab/>
        <w:t xml:space="preserve">○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በሌሎች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ቋንቋዎች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የተዘጋጁ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ጽሑፎች</w:t>
      </w:r>
    </w:p>
    <w:p w14:paraId="57725E23" w14:textId="213E5E04" w:rsidR="000B2898" w:rsidRPr="009471D2" w:rsidRDefault="00A14A66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 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ab/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ምክንያታዊ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የሆኑ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ማሻሻያዎችን፣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ተገቢ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የሆኑ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ተጨማሪ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እገዛዎችን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እና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አገልግሎቶችን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ወይም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የቋንቋ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ድጋፍ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አገልግሎቶችን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ከፈለጉ</w:t>
      </w:r>
      <w:r w:rsidR="00D97A3C" w:rsidRPr="009471D2">
        <w:rPr>
          <w:rFonts w:ascii="Ebrima" w:eastAsia="Nyala" w:hAnsi="Ebrima" w:cs="Ebrima"/>
          <w:sz w:val="24"/>
          <w:szCs w:val="24"/>
          <w:cs/>
          <w:lang w:val="am-ET" w:bidi="am-ET"/>
        </w:rPr>
        <w:t>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 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name of Civil Rights Coordinator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>]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ያነጋግሩ።</w:t>
      </w:r>
    </w:p>
    <w:p w14:paraId="59924A2B" w14:textId="53B264F8" w:rsidR="000B2898" w:rsidRPr="009471D2" w:rsidRDefault="00A14A66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name of covered entity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]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እነዚህን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አገልግሎቶች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መስጠት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አልቻለም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ወይም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በዘር፣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በቆዳ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ቀለም፣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በብሔራዊ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አመጣጥ፣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በእድሜ፣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በአካል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ጉዳት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ወይም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በጾታ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ላይ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በመመርኮዝ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በሌላ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መንገድ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አድልዎ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አድርጓል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ብለው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የሚያምኑ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ከሆነ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ቅሬታውን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name and title of Civil Rights Coordinator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>]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mailing address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>]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telephone number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>] 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TTY number—if covered entity has one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>]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fax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>]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email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]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ላይ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ማቅረብ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ይችላሉ።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ቅሬታውን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በአካል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ወይም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በፖስታ፣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በፋክስ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ወይም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በኢሜይል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ማቅረብ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ይችላሉ።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ቅሬታ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ለማቅረብ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እርዳታ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ከፈለጉ፣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[</w:t>
      </w:r>
      <w:r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name and title of Civil Rights Coordinator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]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ሊረዳዎ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ዝግጁ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ነው።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</w:p>
    <w:p w14:paraId="5C342B36" w14:textId="7E70FD3F" w:rsidR="000B2898" w:rsidRPr="009471D2" w:rsidRDefault="00A14A66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እንዲሁም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የሲቪል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መብቶች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ቅሬታ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በዩኤስ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.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የጤና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እና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ሰብአዊ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አገልግሎቶች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መምሪያ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(U.S. Department of Health and Human Services)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የሲቪል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መብቶች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ቢሮ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(Office for Civil Rights)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በኤሌክትሮኒክ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መንገድ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hyperlink r:id="rId9" w:history="1">
        <w:r w:rsidRPr="009471D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am-ET"/>
          </w:rPr>
          <w:t>https://ocrportal.hhs.gov/ocr/portal/lobby.jsf</w:t>
        </w:r>
      </w:hyperlink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ላይ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በሚገኘው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የሲቪል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መብቶች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ቅሬታ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ቢሮ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ፖርታል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በኩል፣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ወይም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በፖስታ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ወይም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በስልክ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በሚከተለው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ላይ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ማቅረብ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ይችላሉ</w:t>
      </w:r>
      <w:r w:rsidR="00D97A3C" w:rsidRPr="009471D2">
        <w:rPr>
          <w:rFonts w:ascii="Ebrima" w:eastAsia="Nyala" w:hAnsi="Ebrima" w:cs="Ebrima"/>
          <w:sz w:val="24"/>
          <w:szCs w:val="24"/>
          <w:cs/>
          <w:lang w:val="am-ET" w:bidi="am-ET"/>
        </w:rPr>
        <w:t>፦</w:t>
      </w:r>
    </w:p>
    <w:p w14:paraId="43BA4D91" w14:textId="40F499F9" w:rsidR="007944C5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02C3C96A" w14:textId="77777777" w:rsidR="009471D2" w:rsidRPr="009471D2" w:rsidRDefault="009471D2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9471D2" w:rsidRDefault="00A14A66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lastRenderedPageBreak/>
        <w:t>U.S. Department of Health and Human Services</w:t>
      </w:r>
    </w:p>
    <w:p w14:paraId="0D25F3CE" w14:textId="77777777" w:rsidR="000B2898" w:rsidRPr="009471D2" w:rsidRDefault="00A14A66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200 Independence Avenue, SW</w:t>
      </w:r>
    </w:p>
    <w:p w14:paraId="0406E8D3" w14:textId="77777777" w:rsidR="000B2898" w:rsidRPr="009471D2" w:rsidRDefault="00A14A66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Room 509F, HHH Building</w:t>
      </w:r>
    </w:p>
    <w:p w14:paraId="181EA8F7" w14:textId="77777777" w:rsidR="000B2898" w:rsidRPr="009471D2" w:rsidRDefault="00A14A66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Washington, D.C. 20201 </w:t>
      </w:r>
    </w:p>
    <w:p w14:paraId="6B44DC0D" w14:textId="77777777" w:rsidR="000B2898" w:rsidRPr="009471D2" w:rsidRDefault="00A14A66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Times New Roman" w:eastAsia="Times New Roman" w:hAnsi="Times New Roman"/>
          <w:sz w:val="24"/>
          <w:szCs w:val="24"/>
          <w:lang w:val="am-ET"/>
        </w:rPr>
        <w:t>1-800-368-1019, 800-537-7697 (TDD)</w:t>
      </w:r>
    </w:p>
    <w:p w14:paraId="41F90772" w14:textId="77777777" w:rsidR="007944C5" w:rsidRPr="009471D2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BBAD423" w14:textId="5D3E8173" w:rsidR="000B2898" w:rsidRPr="009471D2" w:rsidRDefault="00A14A66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የቅሬታ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ቅጾች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hyperlink r:id="rId10" w:history="1">
        <w:r w:rsidRPr="009471D2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am-ET"/>
          </w:rPr>
          <w:t>http://www.hhs.gov/ocr/office/file/index.html</w:t>
        </w:r>
      </w:hyperlink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ላይ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ይገኛሉ።</w:t>
      </w:r>
      <w:r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</w:p>
    <w:p w14:paraId="59690E77" w14:textId="513D3029" w:rsidR="00C54C4E" w:rsidRPr="00F132C5" w:rsidRDefault="009471D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If applicable:</w:t>
      </w:r>
      <w:r>
        <w:rPr>
          <w:rFonts w:ascii="Times New Roman" w:hAnsi="Times New Roman"/>
          <w:sz w:val="24"/>
          <w:szCs w:val="24"/>
        </w:rPr>
        <w:t xml:space="preserve"> </w:t>
      </w:r>
      <w:r w:rsidR="00A14A66"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ይህ</w:t>
      </w:r>
      <w:r w:rsidR="00A14A66"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="00A14A66"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ማስታወቂያ</w:t>
      </w:r>
      <w:r w:rsidR="00A14A66"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="00A14A66"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በ</w:t>
      </w:r>
      <w:r w:rsidR="00A14A66"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[</w:t>
      </w:r>
      <w:r w:rsidR="00A14A66"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name of covered entity's</w:t>
      </w:r>
      <w:r w:rsidR="00A14A66"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] </w:t>
      </w:r>
      <w:r w:rsidR="00A14A66"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ድረገጽ</w:t>
      </w:r>
      <w:r w:rsidR="00A14A66"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="00A14A66"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ላይ</w:t>
      </w:r>
      <w:r w:rsidR="00A14A66"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</w:t>
      </w:r>
      <w:r w:rsidR="00A14A66" w:rsidRPr="009471D2">
        <w:rPr>
          <w:rFonts w:ascii="Nyala" w:eastAsia="Nyala" w:hAnsi="Nyala" w:cs="Nyala"/>
          <w:sz w:val="24"/>
          <w:szCs w:val="24"/>
          <w:cs/>
          <w:lang w:val="am-ET" w:bidi="am-ET"/>
        </w:rPr>
        <w:t>ይገኛል፦</w:t>
      </w:r>
      <w:r w:rsidR="00A14A66"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 [</w:t>
      </w:r>
      <w:r w:rsidR="00A14A66" w:rsidRPr="009471D2">
        <w:rPr>
          <w:rFonts w:ascii="Times New Roman" w:eastAsia="Times New Roman" w:hAnsi="Times New Roman"/>
          <w:b/>
          <w:bCs/>
          <w:sz w:val="24"/>
          <w:szCs w:val="24"/>
          <w:lang w:val="am-ET"/>
        </w:rPr>
        <w:t>insert covered entity’s URL</w:t>
      </w:r>
      <w:r w:rsidR="00A14A66" w:rsidRPr="009471D2">
        <w:rPr>
          <w:rFonts w:ascii="Times New Roman" w:eastAsia="Times New Roman" w:hAnsi="Times New Roman"/>
          <w:sz w:val="24"/>
          <w:szCs w:val="24"/>
          <w:lang w:val="am-ET"/>
        </w:rPr>
        <w:t xml:space="preserve">]].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27C46D" w14:textId="77777777" w:rsidR="00A14A66" w:rsidRDefault="00A14A66">
      <w:pPr>
        <w:spacing w:after="0" w:line="240" w:lineRule="auto"/>
      </w:pPr>
      <w:r>
        <w:separator/>
      </w:r>
    </w:p>
  </w:endnote>
  <w:endnote w:type="continuationSeparator" w:id="0">
    <w:p w14:paraId="517F7550" w14:textId="77777777" w:rsidR="00A14A66" w:rsidRDefault="00A14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panose1 w:val="00000000000000000000"/>
    <w:charset w:val="00"/>
    <w:family w:val="roman"/>
    <w:notTrueType/>
    <w:pitch w:val="default"/>
  </w:font>
  <w:font w:name="FreeSerif">
    <w:altName w:val="Segoe UI Historic"/>
    <w:panose1 w:val="00000000000000000000"/>
    <w:charset w:val="00"/>
    <w:family w:val="roman"/>
    <w:notTrueType/>
    <w:pitch w:val="variable"/>
    <w:sig w:usb0="E59FAFFF" w:usb1="C200FDFF" w:usb2="43501B29" w:usb3="00000000" w:csb0="0001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0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8485A" w14:textId="77777777" w:rsidR="00A14A66" w:rsidRDefault="00A14A66" w:rsidP="006E3652">
      <w:pPr>
        <w:spacing w:after="0" w:line="240" w:lineRule="auto"/>
      </w:pPr>
      <w:r>
        <w:separator/>
      </w:r>
    </w:p>
  </w:footnote>
  <w:footnote w:type="continuationSeparator" w:id="0">
    <w:p w14:paraId="540845D5" w14:textId="77777777" w:rsidR="00A14A66" w:rsidRDefault="00A14A66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A14A66" w:rsidP="008A7FE9">
      <w:pPr>
        <w:pStyle w:val="FootnoteText"/>
        <w:rPr>
          <w:b/>
          <w:bCs/>
        </w:rPr>
      </w:pPr>
      <w:r w:rsidRPr="009471D2">
        <w:rPr>
          <w:rStyle w:val="FootnoteReference"/>
          <w:b/>
          <w:bCs/>
        </w:rPr>
        <w:footnoteRef/>
      </w:r>
      <w:r w:rsidRPr="009471D2">
        <w:rPr>
          <w:b/>
          <w:bCs/>
        </w:rPr>
        <w:t xml:space="preserve"> </w:t>
      </w:r>
      <w:r w:rsidRPr="009471D2">
        <w:rPr>
          <w:rFonts w:ascii="Times New Roman" w:hAnsi="Times New Roman"/>
          <w:b/>
          <w:bCs/>
        </w:rPr>
        <w:t xml:space="preserve">This language/approach </w:t>
      </w:r>
      <w:r w:rsidR="005C19EB" w:rsidRPr="009471D2">
        <w:rPr>
          <w:rFonts w:ascii="Times New Roman" w:hAnsi="Times New Roman"/>
          <w:b/>
          <w:bCs/>
        </w:rPr>
        <w:t xml:space="preserve">is </w:t>
      </w:r>
      <w:r w:rsidRPr="009471D2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471D2"/>
    <w:rsid w:val="00992248"/>
    <w:rsid w:val="00992A68"/>
    <w:rsid w:val="00995753"/>
    <w:rsid w:val="009A7C17"/>
    <w:rsid w:val="00A034B8"/>
    <w:rsid w:val="00A0429F"/>
    <w:rsid w:val="00A14A66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97A3C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4</cp:revision>
  <dcterms:created xsi:type="dcterms:W3CDTF">2024-04-01T20:44:00Z</dcterms:created>
  <dcterms:modified xsi:type="dcterms:W3CDTF">2024-04-03T17:57:00Z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